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EB0A38">
        <w:rPr>
          <w:b/>
          <w:sz w:val="28"/>
          <w:szCs w:val="28"/>
          <w:lang w:val="uk-UA"/>
        </w:rPr>
        <w:t xml:space="preserve">ГАЗ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w:t>
      </w:r>
      <w:r w:rsidR="00EB0A38">
        <w:rPr>
          <w:b/>
          <w:bCs/>
          <w:sz w:val="28"/>
          <w:szCs w:val="28"/>
        </w:rPr>
        <w:t>стачальника ТОВ «ДНІПРОПЕТРОВСЬК</w:t>
      </w:r>
      <w:r w:rsidRPr="00F6791C">
        <w:rPr>
          <w:b/>
          <w:bCs/>
          <w:sz w:val="28"/>
          <w:szCs w:val="28"/>
        </w:rPr>
        <w:t>ГАЗ ЗБУТ» (далі – Постачальник)</w:t>
      </w:r>
      <w:r w:rsidRPr="00F6791C">
        <w:t xml:space="preserve"> </w:t>
      </w:r>
    </w:p>
    <w:p w:rsidR="00311DDF" w:rsidRPr="00F6791C" w:rsidRDefault="00EB0A38" w:rsidP="00311DDF">
      <w:pPr>
        <w:jc w:val="center"/>
        <w:rPr>
          <w:b/>
          <w:bCs/>
          <w:sz w:val="28"/>
          <w:szCs w:val="28"/>
        </w:rPr>
      </w:pPr>
      <w:r>
        <w:rPr>
          <w:b/>
          <w:bCs/>
          <w:sz w:val="28"/>
          <w:szCs w:val="28"/>
        </w:rPr>
        <w:t>від 24</w:t>
      </w:r>
      <w:r w:rsidR="00311DDF"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адресою </w:t>
      </w:r>
      <w:r w:rsidRPr="00EB0A38">
        <w:rPr>
          <w:sz w:val="28"/>
          <w:szCs w:val="28"/>
          <w:lang w:val="uk-UA"/>
        </w:rPr>
        <w:t>(</w:t>
      </w:r>
      <w:r w:rsidRPr="00F6791C">
        <w:rPr>
          <w:sz w:val="28"/>
          <w:szCs w:val="28"/>
          <w:lang w:val="en-US"/>
        </w:rPr>
        <w:t>URL</w:t>
      </w:r>
      <w:r w:rsidRPr="00EB0A38">
        <w:rPr>
          <w:sz w:val="28"/>
          <w:szCs w:val="28"/>
          <w:lang w:val="uk-UA"/>
        </w:rPr>
        <w:t>)</w:t>
      </w:r>
      <w:r w:rsidR="00EB0A38">
        <w:rPr>
          <w:sz w:val="28"/>
          <w:szCs w:val="28"/>
          <w:lang w:val="uk-UA"/>
        </w:rPr>
        <w:t>:</w:t>
      </w:r>
      <w:r w:rsidR="001E4B33">
        <w:rPr>
          <w:sz w:val="28"/>
          <w:szCs w:val="28"/>
          <w:lang w:val="uk-UA"/>
        </w:rPr>
        <w:t xml:space="preserve"> </w:t>
      </w:r>
      <w:r w:rsidR="001E4B33" w:rsidRPr="001E4B33">
        <w:rPr>
          <w:sz w:val="28"/>
          <w:szCs w:val="28"/>
          <w:lang w:val="uk-UA"/>
        </w:rPr>
        <w:t>https://dpgaszbut.com.ua/</w:t>
      </w:r>
      <w:r w:rsidRPr="00F6791C">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8D2ADA">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w:t>
      </w:r>
      <w:r w:rsidR="00EB0A38">
        <w:rPr>
          <w:sz w:val="28"/>
          <w:szCs w:val="28"/>
          <w:lang w:val="uk-UA"/>
        </w:rPr>
        <w:t xml:space="preserve">ється за ціною, </w:t>
      </w:r>
      <w:r w:rsidR="008D2ADA">
        <w:rPr>
          <w:sz w:val="28"/>
          <w:szCs w:val="28"/>
          <w:lang w:val="uk-UA"/>
        </w:rPr>
        <w:t xml:space="preserve">що </w:t>
      </w:r>
      <w:r w:rsidR="008D2ADA" w:rsidRPr="003778EC">
        <w:rPr>
          <w:sz w:val="28"/>
          <w:szCs w:val="28"/>
          <w:lang w:val="uk-UA"/>
        </w:rPr>
        <w:t>становить 6,66 грн за метр кубічний, крім того ПДВ 20% – 1,33 грн, всього з ПДВ – 7,99 грн за метр кубічний.</w:t>
      </w:r>
      <w:r w:rsidR="008D2ADA" w:rsidRPr="00F6791C">
        <w:rPr>
          <w:sz w:val="28"/>
          <w:szCs w:val="28"/>
          <w:lang w:val="uk-UA"/>
        </w:rPr>
        <w:t xml:space="preserve"> </w:t>
      </w: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w:t>
      </w:r>
      <w:bookmarkStart w:id="0" w:name="_GoBack"/>
      <w:bookmarkEnd w:id="0"/>
      <w:r w:rsidRPr="00F6791C">
        <w:rPr>
          <w:sz w:val="28"/>
          <w:szCs w:val="28"/>
          <w:lang w:val="uk-UA"/>
        </w:rPr>
        <w:t xml:space="preserve">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w:t>
      </w:r>
      <w:r w:rsidRPr="00F6791C">
        <w:rPr>
          <w:sz w:val="28"/>
          <w:szCs w:val="28"/>
          <w:lang w:val="uk-UA"/>
        </w:rPr>
        <w:lastRenderedPageBreak/>
        <w:t>вимогами пункту 9 розділу ІІІ Правил постачання природного газу або зафіксувати свою згоду на зміну таких умов через особистий кабінет споживача, вебсайт Постачальника в мере</w:t>
      </w:r>
      <w:r w:rsidR="00EB0A38">
        <w:rPr>
          <w:sz w:val="28"/>
          <w:szCs w:val="28"/>
          <w:lang w:val="uk-UA"/>
        </w:rPr>
        <w:t xml:space="preserve">жі Інтернет за адресою </w:t>
      </w:r>
      <w:r w:rsidR="00EB0A38" w:rsidRPr="00EB0A38">
        <w:rPr>
          <w:sz w:val="28"/>
          <w:szCs w:val="28"/>
          <w:lang w:val="uk-UA"/>
        </w:rPr>
        <w:t>https://dp.gaszbut.com.ua/ua/</w:t>
      </w:r>
      <w:r w:rsidRPr="00F6791C">
        <w:rPr>
          <w:sz w:val="28"/>
          <w:szCs w:val="28"/>
          <w:lang w:val="uk-UA"/>
        </w:rPr>
        <w:t xml:space="preserve">, Контакт-центр </w:t>
      </w:r>
      <w:r w:rsidR="00EB0A38">
        <w:rPr>
          <w:sz w:val="28"/>
          <w:szCs w:val="28"/>
          <w:lang w:val="uk-UA"/>
        </w:rPr>
        <w:t xml:space="preserve">за телефоном </w:t>
      </w:r>
      <w:r w:rsidR="00EB0A38">
        <w:rPr>
          <w:rFonts w:ascii="Arial" w:hAnsi="Arial" w:cs="Arial"/>
          <w:color w:val="5A5A5A"/>
        </w:rPr>
        <w:t>(056) 794-03-04</w:t>
      </w:r>
      <w:r w:rsidR="00EB0A38">
        <w:rPr>
          <w:rFonts w:ascii="Arial" w:hAnsi="Arial" w:cs="Arial"/>
          <w:color w:val="5A5A5A"/>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Про дату, з якої здійснено перехід на будь-яку комерційну пропозицію, у т.ч.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r w:rsidRPr="00F6791C">
        <w:rPr>
          <w:sz w:val="28"/>
          <w:szCs w:val="28"/>
          <w:shd w:val="clear" w:color="auto" w:fill="FFFFFF"/>
        </w:rPr>
        <w:t>поживачем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ТОВ «Дніпропетровськгаз Збут»</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Адреса: 49000 м.Дніпро, вул. Поля, 2, літ. А-2</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IBAN UA623054820000026031312483915 (м. Дніпро)</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IBAN UA673054820000026032311483915 (Дніпропетровська обл., крім м.</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Дніпропетровськ та м. Кривий Ріг)</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IBAN UA573054820000026030313483915 (м. Кривий Ріг)</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у ДОУ ПАТ «Ощадбанк»</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МФО 305482</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Код ЄДРПОУ 39572642</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Телефони:</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056) 78-78-104 (для м. Дніпро)</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(056) 78-70-104 (для Дніпропетровської обл.)</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(056) 46-26-104 (для м. Кривий Ріг)</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Pr>
          <w:sz w:val="20"/>
          <w:szCs w:val="20"/>
          <w:lang w:val="uk-UA"/>
        </w:rPr>
        <w:t>(</w:t>
      </w:r>
      <w:r w:rsidRPr="000A6ACD">
        <w:rPr>
          <w:sz w:val="20"/>
          <w:szCs w:val="20"/>
          <w:lang w:val="uk-UA"/>
        </w:rPr>
        <w:t>056) 794-03-04 (телефон контакт-центру ТОВ</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«Дніпропетровськгаз збут»)</w:t>
      </w:r>
    </w:p>
    <w:p w:rsidR="000A6ACD" w:rsidRPr="000A6ACD" w:rsidRDefault="000A6ACD" w:rsidP="000A6ACD">
      <w:pPr>
        <w:pStyle w:val="a7"/>
        <w:shd w:val="clear" w:color="auto" w:fill="FFFFFF"/>
        <w:spacing w:before="0" w:beforeAutospacing="0" w:after="0" w:afterAutospacing="0" w:line="240" w:lineRule="atLeast"/>
        <w:rPr>
          <w:sz w:val="20"/>
          <w:szCs w:val="20"/>
          <w:lang w:val="uk-UA"/>
        </w:rPr>
      </w:pPr>
    </w:p>
    <w:p w:rsidR="00311DDF" w:rsidRPr="000A6ACD" w:rsidRDefault="000A6ACD"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Директор __________________ Ю.І.Кузьменко</w:t>
      </w:r>
    </w:p>
    <w:p w:rsidR="00311DDF" w:rsidRPr="000A6ACD" w:rsidRDefault="00311DDF" w:rsidP="000A6ACD">
      <w:pPr>
        <w:pStyle w:val="a7"/>
        <w:shd w:val="clear" w:color="auto" w:fill="FFFFFF"/>
        <w:spacing w:before="0" w:beforeAutospacing="0" w:after="0" w:afterAutospacing="0" w:line="240" w:lineRule="atLeast"/>
        <w:rPr>
          <w:sz w:val="20"/>
          <w:szCs w:val="20"/>
          <w:lang w:val="uk-UA"/>
        </w:rPr>
      </w:pPr>
    </w:p>
    <w:p w:rsidR="00311DDF" w:rsidRPr="000A6ACD" w:rsidRDefault="00311DDF" w:rsidP="000A6ACD">
      <w:pPr>
        <w:pStyle w:val="a7"/>
        <w:shd w:val="clear" w:color="auto" w:fill="FFFFFF"/>
        <w:spacing w:before="0" w:beforeAutospacing="0" w:after="0" w:afterAutospacing="0" w:line="240" w:lineRule="atLeast"/>
        <w:rPr>
          <w:sz w:val="20"/>
          <w:szCs w:val="20"/>
          <w:lang w:val="uk-UA"/>
        </w:rPr>
      </w:pPr>
      <w:r w:rsidRPr="000A6ACD">
        <w:rPr>
          <w:sz w:val="20"/>
          <w:szCs w:val="20"/>
          <w:lang w:val="uk-UA"/>
        </w:rPr>
        <w:t xml:space="preserve">М.П. </w:t>
      </w:r>
    </w:p>
    <w:p w:rsidR="00311DDF" w:rsidRPr="000A6ACD" w:rsidRDefault="00311DDF" w:rsidP="000A6ACD">
      <w:pPr>
        <w:spacing w:line="240" w:lineRule="atLeast"/>
        <w:rPr>
          <w:sz w:val="20"/>
          <w:szCs w:val="20"/>
        </w:rPr>
      </w:pPr>
    </w:p>
    <w:p w:rsidR="00311DDF" w:rsidRPr="000A6ACD" w:rsidRDefault="00311DDF" w:rsidP="000A6ACD">
      <w:pPr>
        <w:spacing w:line="240" w:lineRule="atLeast"/>
        <w:rPr>
          <w:sz w:val="20"/>
          <w:szCs w:val="20"/>
        </w:rPr>
      </w:pPr>
    </w:p>
    <w:p w:rsidR="00311DDF" w:rsidRPr="00311DDF" w:rsidRDefault="00311DDF" w:rsidP="000A6ACD">
      <w:pPr>
        <w:spacing w:line="240" w:lineRule="atLeast"/>
        <w:rPr>
          <w:b/>
          <w:bCs/>
          <w:sz w:val="28"/>
          <w:szCs w:val="28"/>
        </w:rPr>
      </w:pPr>
    </w:p>
    <w:sectPr w:rsidR="00311DDF" w:rsidRPr="00311DDF"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2FF" w:rsidRDefault="00BC52FF">
      <w:r>
        <w:separator/>
      </w:r>
    </w:p>
  </w:endnote>
  <w:endnote w:type="continuationSeparator" w:id="0">
    <w:p w:rsidR="00BC52FF" w:rsidRDefault="00BC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Segoe Script"/>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2FF" w:rsidRDefault="00BC52FF">
      <w:r>
        <w:separator/>
      </w:r>
    </w:p>
  </w:footnote>
  <w:footnote w:type="continuationSeparator" w:id="0">
    <w:p w:rsidR="00BC52FF" w:rsidRDefault="00BC5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BC52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E4B33">
      <w:rPr>
        <w:rStyle w:val="ab"/>
        <w:noProof/>
      </w:rPr>
      <w:t>2</w:t>
    </w:r>
    <w:r>
      <w:rPr>
        <w:rStyle w:val="ab"/>
      </w:rPr>
      <w:fldChar w:fldCharType="end"/>
    </w:r>
  </w:p>
  <w:p w:rsidR="005E4F4B" w:rsidRDefault="00BC52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F"/>
    <w:rsid w:val="00065D03"/>
    <w:rsid w:val="00092DAC"/>
    <w:rsid w:val="00097F67"/>
    <w:rsid w:val="000A6ACD"/>
    <w:rsid w:val="000C40E2"/>
    <w:rsid w:val="00122C4B"/>
    <w:rsid w:val="001A24FF"/>
    <w:rsid w:val="001A70A9"/>
    <w:rsid w:val="001E4B33"/>
    <w:rsid w:val="002F6534"/>
    <w:rsid w:val="00311DDF"/>
    <w:rsid w:val="003831AC"/>
    <w:rsid w:val="00393703"/>
    <w:rsid w:val="00446F03"/>
    <w:rsid w:val="004B78AE"/>
    <w:rsid w:val="00563956"/>
    <w:rsid w:val="00646D9F"/>
    <w:rsid w:val="006F5BBB"/>
    <w:rsid w:val="00764D4D"/>
    <w:rsid w:val="007C608C"/>
    <w:rsid w:val="007D321C"/>
    <w:rsid w:val="0081069E"/>
    <w:rsid w:val="008D2ADA"/>
    <w:rsid w:val="009E3EA6"/>
    <w:rsid w:val="00A439C9"/>
    <w:rsid w:val="00A96079"/>
    <w:rsid w:val="00AC0DFF"/>
    <w:rsid w:val="00B26593"/>
    <w:rsid w:val="00B7442B"/>
    <w:rsid w:val="00BB0BD4"/>
    <w:rsid w:val="00BC52FF"/>
    <w:rsid w:val="00EB0A38"/>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95BF153B-AD3E-4D5B-BFA3-1D37269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1E4B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Сіденко Тетяна Анатоліївна</cp:lastModifiedBy>
  <cp:revision>7</cp:revision>
  <dcterms:created xsi:type="dcterms:W3CDTF">2021-04-24T15:04:00Z</dcterms:created>
  <dcterms:modified xsi:type="dcterms:W3CDTF">2021-12-16T09:21:00Z</dcterms:modified>
</cp:coreProperties>
</file>